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3 vom 13. Februar 2026</w:t>
      </w:r>
    </w:p>
    <w:p>
      <w:r>
        <w:t>GR Gerichte, 2026-02-13, DE</w:t>
      </w:r>
    </w:p>
    <w:p>
      <w:r>
        <w:rPr>
          <w:b/>
        </w:rPr>
        <w:t xml:space="preserve">Quelle: </w:t>
      </w:r>
      <w:r>
        <w:t>https://mcp.opencaselaw.ch/entscheid/gr_gerichte_PVG 2018 3</w:t>
      </w:r>
    </w:p>
    <w:p>
      <w:r>
        <w:t>FR: GR_GERICHTE PVG 2018 3 du 13 février 2026</w:t>
      </w:r>
    </w:p>
    <w:p>
      <w:r>
        <w:t>IT: GR_GERICHTE PVG 2018 3 del 13 febbraio 2026</w:t>
      </w:r>
    </w:p>
    <w:p>
      <w:pPr>
        <w:pStyle w:val="Heading2"/>
      </w:pPr>
      <w:r>
        <w:t>Erwägungen</w:t>
      </w:r>
    </w:p>
    <w:p>
      <w:r>
        <w:rPr>
          <w:b/>
        </w:rPr>
        <w:t>E. 2</w:t>
      </w:r>
    </w:p>
    <w:p>
      <w:r>
        <w:t>a) Die Beschwerdegegnerin begründet den Entzug des Taxiausweises mit der begangenen groben Verletzung von Ver- kehrsregeln i.S.v. Art. 90 Abs. 2 SVG, welche eine schwerwiegen- de Verletzung von Vorschriften des Strassenverkehrsrechts i.S.v. Art. 15 Abs. 1 lit. c des Taxigesetzes der Gemeinde X. vom</w:t>
      </w:r>
    </w:p>
    <w:p>
      <w:r>
        <w:rPr>
          <w:b/>
        </w:rPr>
        <w:t>E. 6</w:t>
      </w:r>
    </w:p>
    <w:p>
      <w:r>
        <w:t>a) Dem Verwaltungsgericht stellt sich nun die Frage, ob sich der einjährige Entzug des Taxiausweises in Anwendung von Art. 17 Abs. 2 i.V.m. Art. 15 Abs. 1 lit. c Taxigesetz, aufgrund der Verurteilung des Beschwerdeführers wegen Verletzung von Ver- kehrsregeln (Art. 90 Abs. 2 SVG) infolge der Geschwindigkeits- überschreitung vom 5. Mai 2016, als verhältnismässig erweist. Der Beschwerdeführer fuhr an besagtem Datum um 04:21 Uhr auf der Südspur der Autobahn A13 auf der Höhe Zizers bei einer signali- sierten Höchstgeschwindigkeit von 80 km/h − nach Abzug der Tole- ranz − 117 km/h und damit 37 km/h schneller als erlaubt. Nach klassischem Verständnis verlangt das Verhältnismäs- sigkeitsprinzip gemäss Art. 5 Abs. 2 BV, dass eine staatliche Mass- nahme mit Blick auf deren Ziel geeignet, erforderlich und zumutbar sein muss (vgl. etwa Häfelin/Müller/UHlMann, Allgemeines Verwal- tungsrecht,</w:t>
      </w:r>
    </w:p>
    <w:p>
      <w:r>
        <w:rPr>
          <w:b/>
        </w:rPr>
        <w:t>E. 7</w:t>
      </w:r>
    </w:p>
    <w:p>
      <w:r>
        <w:t>Auflage, Zürich 2016, Rz. 520 ff.; WiederkeHr/ricHli, Praxis des allgemeinen Verwaltungsrechts, Band I, Bern 2012, Rz. 1735 ff.). In der neueren Lehre wird betont, dass dieser Dreischritt die Komplexität der Verhältnismässigkeitsprüfung auf eine für Ju- risten praktikable Prüfformel reduziert, diese Formel jedoch bloss ein beschränktes Leistungsvermögen besitzt (vgl. Müller, Verhält- nismässigkeit − Gedanken zu einem Zauberwürfel, Bern 2013, S. 27 f. und 31 ff.). Die drei Elemente Eignung, Erforderlichkeit und Zu- mutbarkeit müssen kumulativ beachtet werden. b) Beim Kriterium der Eignung ist danach zu fragen, ob eine konkrete Massnahme zur Erreichung des angestrebten Ziels taug- lich ist. Ungeeignet erscheint eine Massnahme erst dann, wenn diese am Ziel geradezu vorbeischiesst bzw. sie keinerlei Wirkungen im Hinblick auf den angestrebten Zweck entfaltet (vgl. WiederkeHr/ ricHli, a.a.O., Rz. 1778). Mit der Frage nach der Eignung einer Mass- nahme soll lediglich sichergestellt werden, dass eine zweckkonfor- me Wirkung erzielt wird, mithin die Massnahme nicht gänzlich wir- kungslos oder im Ergebnis gar kontraproduktiv ist; praxisgemäss genügt dabei eine Teileignung (vgl. Müller, a.a.O., S. 29). Ein einjähriger Entzug des Taxiausweises bzw. eine tem- poräre Einstellung einer Wirtschaftsbewilligung ist weder wir- kungslos noch erschwert oder verhindert er/sie die Erreichung des angestrebten Zwecks. Vielmehr ist ein solcher Entzug grundsätzlich geeignet, um die von der Gemeinde X. , im öffentlichen Inte- resse liegenden, gesetzlichen Anforderungen an eine Taxilenkerin bzw. einen Taxilenker auf dem Gemeindegebiet durchzusetzen und</w:t>
      </w:r>
    </w:p>
    <w:p>
      <w:r>
        <w:t>2/3 Konzessionen und Bewilligungen PVG 2018 45 damit die erwünschten Qualitätsstandards sowie den Schutz und die Sicherheit der Öffentlichkeit sowie insbesondere der Taxigäs- te zu gewährleisten. Der Einwand des Beschwerdeführers, wonach die Eignung des Entzuges gewissermassen nicht gegeben sei, da er aufgrund seines Führerausweises auch andernorts als Taxifah- rer tätig sein könne, vermag angesichts der Tatsache, dass es der Gemeinde X. , wie bereits erwähnt, im Rahmen ihrer Gemein- deautonomie unbenommen bleibt, eine solche Regelung zu erlas- sen bzw. mittels Taxigesetz den gewerbsmässigen Personen- und Gepäcktransport mit Motorfahrzeugen ohne feste Route oder Fahr- plan zu regeln, nicht zu überzeugen (vgl. vorstehende Erwägung 4d/e). c) Die Erforderlichkeit setzt sodann voraus, dass eine Mass- nahme im Hinblick auf den angestrebten Zweck erforderlich sein muss. Eine Massnahme hat insbesondere dann zu unterbleiben, wenn eine gleichermassen geeignete, aber mildere Massnahme für den angestrebten Erfolg ausreichen würde. Unter dem Aspekt der Erforderlichkeit darf ein Eingriff in sachlicher, räumlicher, zeitlicher und personeller Hinsicht nicht über das Notwendige hinausgehen (vgl. Häfelin/Haller/keller/THUrnHerr, Schweizerisches Bundes- staatsrecht, 9. Auflage, Zürich 2016, Rz. 322). Mit anderen Worten: Der Eingriff darf nicht schärfer sein, als dies der Zweck der Mass- nahme verlangt, und ist unzulässig, wenn auch ein geringerer Ein- griff zum Ziel führt. Insofern dient das Element der Erforderlichkeit der Prüfung der Intensität des staatlichen Handelns (vgl. Häfelin/ Müller/UHlMann, a.a.O., Rz. 527). Im vorliegenden Fall erfüllt ein einjähriger Entzug des Ta- xiausweises das Kriterium der Erforderlichkeit nicht; denn wie der Beschwerdeführer zu Recht ausführt, würde ein Entzug des Taxi- ausweises von kürzerer Dauer oder allenfalls gar der Ausspruch einer Verwarnung sowohl in zeitlicher als auch sachlicher Hinsicht einen geringeren Eingriff bzw. eine mildere Massnahme darstellen, welche in casu gleichermassen geeignet wäre, den angestrebten Erfolg bzw. das unter Erwägung 5b) angesprochene öffentliche In- teresse durchzusetzen. Dies nicht zuletzt, da es sich gemäss Akten um den ersten «groben Fehltritt» in der langjährigen Berufstätigkeit des Beschwerdeführers handelt und besagte Geschwindigkeits- überschreitung nicht in Anwesenheit von Fahr- bzw. Taxigästen be- gangen wurde. Darüber hinaus hat er im Rahmen des administra- tivrechtlichen Verfahrens bereits einen dreimonatigen Entzug des Führerausweises verbüsst, was zwangsläufig einem Entzug des Ta- xiausweises gleichkam (vgl. Art. 14 sowie Art. 17 Abs. 1 Taxigesetz).</w:t>
      </w:r>
    </w:p>
    <w:p>
      <w:r>
        <w:t>2/3 Konzessionen und Bewilligungen PVG 2018 46 Insofern erweist sich ein Entzug des Taxiausweises von einjähriger Dauer zumindest sowohl in zeitlicher als auch personeller Hinsicht, wenn nicht gar auch in sachlicher Hinsicht, als über das Notwendi- ge hinausgehend und somit als nicht erforderlich. Ein Entzug von kürzerer Dauer oder allenfalls auch eine mildere Massnahme, wie beispielsweise eine Verwarnung, erscheinen ebenfalls als geeig- net, ein pflicht- und regelkonformes Verhalten des Beschwerdefüh- rers zu bewirken. d) In einem letzten Schritt gilt es die Verhältnismässigkeit im engeren Sinne respektive die Zumutbarkeit zu prüfen. Dabei ist eine Abwägung zwischen öffentlichen und betroffenen privaten In- teressen vorzunehmen. Eine Massnahme ist unverhältnismässig, wenn deren negativen Wirkungen im konkreten Fall schwerer ins Gewicht fallen, als das öffentliche Interesse daran, dass die Anord- nung getroffen wird (vgl. Häfelin/Haller/keller/ THUrnHerr, a.a.O., Rz. 323). Der Beschwerdeführer bringt vor, dass die Beschwerde- gegnerin die Schwere des vorliegenden Fehltritts völlig unbeach- tet gelassen habe und sich mit dem Hinweis auf die strafrechtli- che Verurteilung wegen grober Verkehrsregelverletzung begnüge. Insbesondere habe es die Beschwerdegegnerin unterlassen, die innegehabte Fahrgeschwindigkeit des Beschwerdeführers von 117 km/h am 5. Mai 2016 frühmorgens um 4:21 Uhr auf der doppel- spurigen und völlig verkehrslosen Autobahn zu durchleuchten. In seiner über 15-jährigen Berufstätigkeit als Taxichauffeur habe sich der Beschwerdeführer nie etwas zu Schulden kommen lassen und habe nie die Sicherheit seiner Fahrgäste gefährdet. Ferner habe der Beschwerdeführer die von der Gemeinde X. gesetzlich ver- langten Anforderungen immer eingehalten und stets zu einem qua- litativ hochstehenden Taxidienst beigetragen. Dies belege bereits der Umstand, dass es in all den Jahren seiner Tätigkeit zu keinen Beanstandungen gekommen sei; weder seitens seiner Fahrgäste, des Taxiunternehmens B. noch seitens der Taxi-Konkurren- zunternehmungen/Taxi-Kollegen oder gar seitens der Polizei. Der Beschwerdeführer habe seine Fahrgäste stets sicher transportiert. Das Straf- und Administrativverfahren sowie die durch den Füh- rerausweisentzug erlittene Einkommensbusse seien für den Be- schwerdeführer überaus belastend gewesen und hätten bei ihm einen starken Eindruck hinterlassen. Entsprechend bedürfe es auch keiner weiteren berufseinschränkender Massnahmen um die Si- cherheit der Fahrgäste zu gewährleisten. Da der Beschwerdeführer bereits 65-jährig und keiner Pensionskasse angeschlossen sei, sei</w:t>
      </w:r>
    </w:p>
    <w:p>
      <w:r>
        <w:t>2/3 Konzessionen und Bewilligungen PVG 2018 47 er auf den Zusatzverdienst als Taxifahrer angewiesen. Über andere Erwerbsmöglichkeiten verfüge er nicht. Ein Entzug des Taxiauswei- ses für die Dauer eines Jahres habe nicht nur einen Verlust des persönlichen Kundenstamms sowie einen erschwerten beruflichen Wiedereinstieg, sondern auch Einkommenseinbussen zur Folge, welche, aufgrund seiner vergleichsweise bescheidenen AHV-Ren- te, eine Angewiesenheit auf Ergänzungsleistungen auszulösen ver- mögen würden. Dies könne wiederum nicht im öffentlichen Inter- esse liegen. Zu diesem Zweck verweist er auf die Rechtsprechung des Verwaltungsgerichts des Kantons Graubünden, namentlich auf Urteil U 14 88 vom 30. Juni 2015, wo das private Interesse des Be- schwerdeführers an der Erteilung einer Bewilligung zum Betrieb des Taxigewerbes in der Gemeinde X, unter anderem aufgrund der drohenden massiven Einkommenseinbussen, höher gewichtet worden sei als das öffentliche Interesse an der Gesetzestreue und Gleichbehandlung. Die Beschwerdegegnerin hält dem entgegen, dass das öf- fentliche Interesse an einem qualitativ hochstehenden Taxidienst sowie das private Interesse der Fahrgäste an einem sicheren Trans- port die privaten Interessen des Beschwerdeführers an der Aus- übung des Taxifahrerberufes überwiegen würden. Insbesondere bei Straftaten wie der begangenen Geschwindigkeitsüberschrei- tung, welche die Vertrauenswürdigkeit als Taxichauffeur unmittel- bar beeinträchtigen und Fahrgäste massiv gefährden könne, sei die berufliche Eignung in Frage gestellt. Und auch in zeitlicher Hinsicht bewege sich der Gemeinderat mit der festgelegten Entzugsdauer von einem Jahr an der untersten Grenze der gesetzlich vorgesehe- nen, maximalen Entzugsdauer (vgl. Art. 15 Abs. 1 lit. c i.V.m. Art. 17 Abs. 2 Taxigesetz). Eine noch mildere Massnahme sei sodann nicht zweckdienlich. Somit sei dem Grundsatz der Verhältnismässigkeit i.e.S. bzw. der Zumutbarkeit auch mit Blick auf die zeitliche Kompo- nente Rechnung getragen worden. Diese − von der Beschwerdegegnerin vorgenommene − Güterabwägung hält einer Überprüfung der Verhältnismässigkeit nicht stand; denn wie der Beschwerdeführer zu Recht ausführt, geht die Beschwerdegegnerin kaum auf die konkreten Umstände der Tat ein. Namentlich berücksichtigt sie nicht, dass die Geschwindigkeitsüberschreitung nur wegen 3 km/h als grobe Verletzung von Verkehrsregeln i.S.v. Art. 90 Abs. 2 SVG und folglich als schwerwiegend i.S.v. Art. 15 Abs. 1 lit. c Taxigesetz qualifiziert wurde. Auch bleibt unberücksichtigt, dass der Beschwerdeführer zur Tatzeit, um 4:21 Uhr, auf einer doppelspurigen, verkehrslosen</w:t>
      </w:r>
    </w:p>
    <w:p>
      <w:r>
        <w:t>2/3 Konzessionen und Bewilligungen PVG 2018 48 Autobahn unterwegs war und keine Fahrgäste anwesend waren, welche er in irgendeiner Weise konkret gefährdet haben könnte. Vom Beschwerdeführer ging somit nur eine abstrakte Gefahr aus, welche überdies, mangels Fahrgästen, keinen unmittelbaren Be- zug zu seiner Berufsausübung i.e.S. aufwies. Zudem gilt es bei der Festsetzung der Entzugsdauer, entgegen der Auffassung der Beschwerdegegnerin, sehr wohl zu berücksichtigen, dass es sich, gemäss Akten, bei besagter Geschwindigkeitsüberschreitung um die erste grobe Verkehrsregelverletzung des Beschwerdeführers handelt und er zuvor 15 klaglose Jahre als Taxifahrer tätig war. Auch der bereits «verbüsste» dreimonatige Führerausweisent- zug, welcher im Ergebnis einem Entzug des Taxiausweises gleich- kommt, da der Taxiausweis in dieser Zeit gemäss Art. 14 sowie Art. 17 Abs. 1 Taxigesetz nicht gültig ist, muss in die Verhältnis- mässigkeitsprüfung miteinbezogen werden, zumal bereits erfolgte «Massnahmen» sowohl für das persönliche als auch das öffentliche Interesse von Relevanz sind. Gleiches gilt für die vom Beschwer- deführer geltend gemachte (eigene) finanzielle Situation bzw. des- sen Angewiesenheit auf den Zusatzverdienst, dessen (AHV-) Alter sowie dessen fehlende Möglichkeiten, einer alternativen Erwerbs- tätigkeit nachzugehen. In Bezug auf das vom Beschwerdeführer zitierte Urteil des Verwaltungsgerichtes des Kantons Graubünden U 14 88 vom 30. Juni 2015, in welchem das persönliche Interesse des Beschwerdeführers, aufgrund der ihm drohenden Arbeitslo- sigkeit, höher gewichtet wurde als das öffentliche Interesse, gilt es jedoch festzuhalten, dass sich genanntes Urteil nicht nahtlos auf den vorliegenden Fall übertragen lässt, da es im vorliegenden Fall um Ergänzungsleistungen geht. Die Ergänzungsleistungen zur AHV und IV (EL) sollen dort helfen, wo die Renten und das Ein- kommen nicht die minimalen Lebenskosten decken. Entsprechend stellen sie einen rechtlichen Anspruch und keine Fürsorge oder Sozialhilfe dar und unterscheiden sich folglich auch von den bei- den Letztgenannten. Der Beschwerdeführer als AHV-Bezüger ist somit − im Gegensatz zum Beschwerdeführer in Urteil U 14 88, welcher sich noch nicht im AHV-Alter befand und keine Vollrente der IV bezog − nicht mehr verpflichtet einer Erwerbstätigkeit nach- zugehen um für seine Lebenskosten aufzukommen. Dennoch ist das durchaus löbliche Bestreben des Beschwerdeführers, so lange als möglich für seine Lebenskosten selbst aufzukommen und so der öffentlichen Hand keine zusätzlichen Kosten zu verursachen, positiv hervorzuheben und auch in die Verhältnismässigkeitsprü- fung miteinzubeziehen.</w:t>
      </w:r>
    </w:p>
    <w:p>
      <w:r>
        <w:t>2/3 Konzessionen und Bewilligungen PVG 2018 49 Angesichts der konkreten Umstände ist im vorliegenden Fall das private Interesse des Beschwerdeführers an dessen Ta- xiausweis für die Gemeinde X. höher zu gewichten, als das öffentliche Interesse an einem einjährigen Entzug des Taxiauswei- ses. Ein einjähriger Entzug des Taxiausweises erweist sich somit als unverhältnismässig. Anders zu beurteilen wäre die Sachlage, wenn der Beschwerdeführer bereits mehrere einschlägige Vorstra- fen, wie beispielsweise Strassenverkehrsdelikte, im Strafregister aufweisen würde und keinerlei Gewähr bestehen würde, dass der Betroffene nicht wieder rückfällig würde (vgl. VGU U 07 11 vom 25. Mai 2007 E.3). Darüber hinaus gilt es festzuhalten, dass die Behauptung der Beschwerdegegnerin, wonach ein einjähriger Entzug des Ta- xiausweises die unterste Grenze der gesetzlich vorgesehenen ma- ximalen Entzugsdauer und somit gewissermassen eine Mindest- entzugsdauer darstelle, jeglicher (insbesondere auch gesetzlicher) Grundlage entbehrt. Wenn überhaupt, kann eine Entzugsdauer von einem Jahr im vorliegenden Fall in analoger Weise als Einsatzstra- fe dienen, jedoch nicht als Mindeststrafe. Zudem hat ein Entzug des Taxiausweises stets unter Anrechnung des bereits «verbüss- ten» Ausweisentzuges zu erfolgen, da gemäss Art. 14 sowie Art. 17 Abs. 1 Taxigesetz der Taxiausweis ohnehin nur in Verbindung mit dem Führerausweis zum berufsmässigen Personentransport gültig ist. Obendrein drängt sich eine solche Anrechnung des bereits er- folgten Führerausweisentzuges an den Entzug des Taxiausweises auch aufgrund der mangelnden Koordination zwischen den beiden Ausweisentzügen auf. e) Im Lichte der angestellten Erwägungen kommt das Ge- richt zum Schluss, dass im vorliegenden Fall ein einjähriger Entzug des Taxiausweises, wegen Verletzung von Vorschriften des Stras- senverkehrsrechts in schwerwiegender Weise (vgl. Art. 15 Abs. 3 lit. c i.V.m. Art. 17 Abs. 2 Taxigesetz), weder erforderlich noch ver- hältnismässig ist und somit die Wirtschaftsfreiheit (Art. 27 BV) des Beschwerdeführers verletzt. Unter Berücksichtigung der konkreten Umstände des vorliegenden Falles erscheint ein Entzug des Taxi- ausweises von null bis maximal drei Monaten, unter Anrechnung der bereits erfolgten Administrativmassnahme bzw. des bereits er- folgten dreimonatigen Führerausweisentzuges, als vertretbar. Die Beschwerde erweist sich somit als begründet und ist teilweise gut- zuheissen und zwecks Neubeurteilung im Sinne der Erwägungen an die Vorinstanz zurückzuweisen. U 17 41 Urteil vom 19.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